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427" w:rsidRDefault="00F76427">
      <w:pPr>
        <w:spacing w:line="240" w:lineRule="auto"/>
        <w:rPr>
          <w:b/>
        </w:rPr>
      </w:pPr>
    </w:p>
    <w:p w:rsidR="00F76427" w:rsidRDefault="00BC0A19">
      <w:pPr>
        <w:pBdr>
          <w:top w:val="single" w:sz="4" w:space="1" w:color="000000"/>
          <w:left w:val="single" w:sz="4" w:space="4" w:color="000000"/>
          <w:bottom w:val="single" w:sz="4" w:space="1" w:color="000000"/>
          <w:right w:val="single" w:sz="4" w:space="4" w:color="000000"/>
        </w:pBdr>
        <w:spacing w:line="240" w:lineRule="auto"/>
        <w:jc w:val="center"/>
        <w:rPr>
          <w:b/>
          <w:color w:val="000000" w:themeColor="text1"/>
        </w:rPr>
      </w:pPr>
      <w:r>
        <w:rPr>
          <w:b/>
          <w:color w:val="000000" w:themeColor="text1"/>
        </w:rPr>
        <w:t>APPEL A COMMUNICATIONS</w:t>
      </w:r>
    </w:p>
    <w:p w:rsidR="00F76427" w:rsidRDefault="00F76427">
      <w:pPr>
        <w:spacing w:line="240" w:lineRule="auto"/>
        <w:jc w:val="both"/>
        <w:rPr>
          <w:b/>
          <w:color w:val="000000" w:themeColor="text1"/>
        </w:rPr>
      </w:pPr>
    </w:p>
    <w:p w:rsidR="00F76427" w:rsidRDefault="00BC0A19">
      <w:pPr>
        <w:spacing w:line="240" w:lineRule="auto"/>
        <w:jc w:val="center"/>
        <w:rPr>
          <w:b/>
          <w:color w:val="000000" w:themeColor="text1"/>
        </w:rPr>
      </w:pPr>
      <w:r>
        <w:rPr>
          <w:b/>
          <w:color w:val="000000" w:themeColor="text1"/>
        </w:rPr>
        <w:t>CRISES SANITAIRES ET ENVIRONNEMENTALES</w:t>
      </w:r>
    </w:p>
    <w:p w:rsidR="00F76427" w:rsidRDefault="00F76427">
      <w:pPr>
        <w:spacing w:line="240" w:lineRule="auto"/>
        <w:jc w:val="both"/>
        <w:rPr>
          <w:color w:val="000000" w:themeColor="text1"/>
        </w:rPr>
      </w:pPr>
    </w:p>
    <w:p w:rsidR="00F76427" w:rsidRDefault="00BC0A19">
      <w:pPr>
        <w:spacing w:line="240" w:lineRule="auto"/>
        <w:jc w:val="both"/>
        <w:rPr>
          <w:color w:val="000000" w:themeColor="text1"/>
        </w:rPr>
      </w:pPr>
      <w:r>
        <w:rPr>
          <w:color w:val="000000" w:themeColor="text1"/>
        </w:rPr>
        <w:t xml:space="preserve">Les crises sanitaires et environnementales sont devenues l’une des caractéristiques des sociétés contemporaines. Pandémies globales, catastrophes industrielles majeures, dérèglement climatique ou encore circulations transfrontières des pollutions, révèlent une vulnérabilité systémique qui affecte les équilibres écologiques, économiques et sociaux et met à l’épreuve tant la stabilité normative, que la territorialité des souverainetés. </w:t>
      </w:r>
    </w:p>
    <w:p w:rsidR="00F76427" w:rsidRDefault="00BC0A19">
      <w:pPr>
        <w:spacing w:line="240" w:lineRule="auto"/>
        <w:jc w:val="both"/>
        <w:rPr>
          <w:color w:val="000000" w:themeColor="text1"/>
        </w:rPr>
      </w:pPr>
      <w:r>
        <w:rPr>
          <w:color w:val="000000" w:themeColor="text1"/>
        </w:rPr>
        <w:t>Ces phénomènes confrontent les sociétés à la prise en compte de leur irréversibilité potentielle, aux incertitudes scientifiques, à l’urgence décisionnelle et à dimension transnationale des atteintes. La crise sanitaire mondiale liée à la pandémie de Covid-19, tout comme la multiplication des contentieux climatiques devant les juridictions nationales et supranationales, ont révélé les tensions inhérentes à la gouvernance juridique des risques contemporains. L’exigence d’une décision rapide en situation d’urgence s’est souvent accompagnée d’une redéfinition des équilibres entre sécurité collective, libertés fondamentales et impératifs économiques.</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 xml:space="preserve">Les crises </w:t>
      </w:r>
      <w:r>
        <w:rPr>
          <w:color w:val="000000" w:themeColor="text1"/>
        </w:rPr>
        <w:t>sanitaires et environnementales</w:t>
      </w:r>
      <w:r>
        <w:rPr>
          <w:rFonts w:eastAsia="Times New Roman"/>
          <w:color w:val="000000" w:themeColor="text1"/>
          <w:lang w:eastAsia="fr-FR"/>
        </w:rPr>
        <w:t xml:space="preserve"> révèlent également une intensification de la circulation normative entre ordres juridiques, international, européen et national et une participation croissante d</w:t>
      </w:r>
      <w:r>
        <w:rPr>
          <w:color w:val="000000" w:themeColor="text1"/>
        </w:rPr>
        <w:t>es jurisprudences constitutionnelles et supranationales à l’émergence progressive de standards communs encadrant la prévention des risques, la responsabilité des acteurs publics et privés et la protection des droits fondamentaux.</w:t>
      </w:r>
      <w:r>
        <w:rPr>
          <w:rFonts w:eastAsia="Times New Roman"/>
          <w:color w:val="000000" w:themeColor="text1"/>
          <w:lang w:eastAsia="fr-FR"/>
        </w:rPr>
        <w:t xml:space="preserve">  </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 xml:space="preserve">Face à des dommages souvent diffus, différés ou irréversibles, le juge apparaît comme un acteur </w:t>
      </w:r>
      <w:proofErr w:type="gramStart"/>
      <w:r>
        <w:rPr>
          <w:rFonts w:eastAsia="Times New Roman"/>
          <w:color w:val="000000" w:themeColor="text1"/>
          <w:lang w:eastAsia="fr-FR"/>
        </w:rPr>
        <w:t>central</w:t>
      </w:r>
      <w:proofErr w:type="gramEnd"/>
      <w:r>
        <w:rPr>
          <w:rFonts w:eastAsia="Times New Roman"/>
          <w:color w:val="000000" w:themeColor="text1"/>
          <w:lang w:eastAsia="fr-FR"/>
        </w:rPr>
        <w:t xml:space="preserve"> de la gouvernance des crises,</w:t>
      </w:r>
      <w:r>
        <w:rPr>
          <w:color w:val="000000" w:themeColor="text1"/>
        </w:rPr>
        <w:t xml:space="preserve"> contribuant à redéfinir les obligations positives des États, la responsabilité des entreprises et les contours d’une justice environnementale et climatique globale.</w:t>
      </w:r>
      <w:r>
        <w:rPr>
          <w:rFonts w:eastAsia="Times New Roman"/>
          <w:color w:val="000000" w:themeColor="text1"/>
          <w:lang w:eastAsia="fr-FR"/>
        </w:rPr>
        <w:t xml:space="preserve"> </w:t>
      </w:r>
    </w:p>
    <w:p w:rsidR="00F76427" w:rsidRDefault="00BC0A19">
      <w:pPr>
        <w:spacing w:line="240" w:lineRule="auto"/>
        <w:jc w:val="both"/>
        <w:rPr>
          <w:rFonts w:eastAsia="Times New Roman"/>
          <w:color w:val="000000" w:themeColor="text1"/>
        </w:rPr>
      </w:pPr>
      <w:r>
        <w:rPr>
          <w:color w:val="000000" w:themeColor="text1"/>
        </w:rPr>
        <w:t>Plus largement, ces évolutions interrogent sur la capacité à gouverner l’incertitude et à intégrer des temporalités nouvelles, liées à la protection des générations futures, à la prise en compte des dommages différés ou à l’appréciation des atteintes irréversibles aux écosystèmes. Elles invitent à repenser les catégories classiques de responsabilité, de causalité, de réparation et de souveraineté à l’aune d’une vulnérabilité partagée et d’une interdépendance croissante entre sociétés humaines.</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 xml:space="preserve">Dans cette perspective, ce colloque vise à instaurer un dialogue interdisciplinaire entre chercheurs et praticiens afin d’explorer les enjeux liés aux défis écologiques et sanitaires globaux. Au regard de la dimension internationale desdits enjeux, une approche comparée sera retenue avec la participation de chercheurs de différentes nationalités. </w:t>
      </w:r>
    </w:p>
    <w:p w:rsidR="00F76427" w:rsidRDefault="00F76427">
      <w:pPr>
        <w:spacing w:line="240" w:lineRule="auto"/>
        <w:jc w:val="both"/>
        <w:rPr>
          <w:rFonts w:eastAsia="Times New Roman"/>
          <w:color w:val="000000" w:themeColor="text1"/>
        </w:rPr>
      </w:pP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Six Axes thématiques sont proposés (non limitatifs).</w:t>
      </w:r>
    </w:p>
    <w:p w:rsidR="00F76427" w:rsidRDefault="00F76427">
      <w:pPr>
        <w:spacing w:line="240" w:lineRule="auto"/>
        <w:jc w:val="both"/>
        <w:rPr>
          <w:rFonts w:eastAsia="Times New Roman"/>
          <w:color w:val="000000" w:themeColor="text1"/>
        </w:rPr>
      </w:pPr>
    </w:p>
    <w:p w:rsidR="00F76427" w:rsidRDefault="00BC0A19">
      <w:pPr>
        <w:spacing w:after="0" w:line="240" w:lineRule="auto"/>
        <w:jc w:val="both"/>
        <w:rPr>
          <w:rFonts w:eastAsia="Times New Roman"/>
          <w:b/>
          <w:color w:val="000000" w:themeColor="text1"/>
        </w:rPr>
      </w:pPr>
      <w:r>
        <w:rPr>
          <w:rFonts w:eastAsia="Times New Roman"/>
          <w:b/>
          <w:color w:val="000000" w:themeColor="text1"/>
          <w:lang w:eastAsia="fr-FR"/>
        </w:rPr>
        <w:t xml:space="preserve">Axe1 : Gouvernance des risques systémiques. </w:t>
      </w:r>
    </w:p>
    <w:p w:rsidR="00F76427" w:rsidRDefault="00BC0A19">
      <w:pPr>
        <w:spacing w:line="240" w:lineRule="auto"/>
        <w:jc w:val="both"/>
        <w:rPr>
          <w:b/>
          <w:bCs/>
          <w:color w:val="000000" w:themeColor="text1"/>
        </w:rPr>
      </w:pPr>
      <w:r>
        <w:rPr>
          <w:color w:val="000000" w:themeColor="text1"/>
        </w:rPr>
        <w:t>Les crises sanitaires et environnementales imposent de repenser la régulation des risques face à l’incertitude scientifique. Les propositions pourront notamment porter sur : le principe de précaution et prévention des risques globaux ; le rôle de l’expertise scientifique dans la décision juridique ; le développement et l’influence des instruments hybrides (</w:t>
      </w:r>
      <w:r>
        <w:rPr>
          <w:i/>
          <w:iCs/>
          <w:color w:val="000000" w:themeColor="text1"/>
        </w:rPr>
        <w:t xml:space="preserve">soft </w:t>
      </w:r>
      <w:proofErr w:type="spellStart"/>
      <w:r>
        <w:rPr>
          <w:i/>
          <w:iCs/>
          <w:color w:val="000000" w:themeColor="text1"/>
        </w:rPr>
        <w:t>law</w:t>
      </w:r>
      <w:proofErr w:type="spellEnd"/>
      <w:r>
        <w:rPr>
          <w:color w:val="000000" w:themeColor="text1"/>
        </w:rPr>
        <w:t xml:space="preserve">, </w:t>
      </w:r>
      <w:r>
        <w:rPr>
          <w:rFonts w:eastAsia="Times New Roman"/>
          <w:color w:val="000000" w:themeColor="text1"/>
          <w:lang w:eastAsia="fr-FR"/>
        </w:rPr>
        <w:t>standards internationaux</w:t>
      </w:r>
      <w:r>
        <w:rPr>
          <w:color w:val="000000" w:themeColor="text1"/>
        </w:rPr>
        <w:t xml:space="preserve">, </w:t>
      </w:r>
      <w:r>
        <w:rPr>
          <w:i/>
          <w:iCs/>
          <w:color w:val="000000" w:themeColor="text1"/>
        </w:rPr>
        <w:t>compliance</w:t>
      </w:r>
      <w:r>
        <w:rPr>
          <w:color w:val="000000" w:themeColor="text1"/>
        </w:rPr>
        <w:t xml:space="preserve"> et régulation économique…). </w:t>
      </w:r>
    </w:p>
    <w:p w:rsidR="00F76427" w:rsidRDefault="00BC0A19">
      <w:pPr>
        <w:spacing w:after="0" w:line="240" w:lineRule="auto"/>
        <w:jc w:val="both"/>
        <w:rPr>
          <w:rFonts w:eastAsia="Times New Roman"/>
          <w:b/>
          <w:color w:val="000000" w:themeColor="text1"/>
        </w:rPr>
      </w:pPr>
      <w:r>
        <w:rPr>
          <w:rFonts w:eastAsia="Times New Roman"/>
          <w:b/>
          <w:color w:val="000000" w:themeColor="text1"/>
          <w:lang w:eastAsia="fr-FR"/>
        </w:rPr>
        <w:lastRenderedPageBreak/>
        <w:t>Axe 2 : Urgence et État de droit.</w:t>
      </w:r>
    </w:p>
    <w:p w:rsidR="00F76427" w:rsidRDefault="00BC0A19">
      <w:pPr>
        <w:spacing w:line="240" w:lineRule="auto"/>
        <w:jc w:val="both"/>
        <w:rPr>
          <w:color w:val="000000" w:themeColor="text1"/>
        </w:rPr>
      </w:pPr>
      <w:r>
        <w:rPr>
          <w:color w:val="000000" w:themeColor="text1"/>
        </w:rPr>
        <w:t>La gestion des crises révèle la tension entre décision rapide et préservation des libertés fondamentales.</w:t>
      </w:r>
      <w:r>
        <w:rPr>
          <w:rFonts w:eastAsia="Times New Roman"/>
          <w:color w:val="000000" w:themeColor="text1"/>
          <w:lang w:eastAsia="fr-FR"/>
        </w:rPr>
        <w:t xml:space="preserve"> </w:t>
      </w:r>
      <w:r>
        <w:rPr>
          <w:color w:val="000000" w:themeColor="text1"/>
        </w:rPr>
        <w:t xml:space="preserve">Les propositions pourront notamment porter sur : </w:t>
      </w:r>
      <w:r>
        <w:rPr>
          <w:rFonts w:eastAsia="Times New Roman"/>
          <w:color w:val="000000" w:themeColor="text1"/>
          <w:lang w:eastAsia="fr-FR"/>
        </w:rPr>
        <w:t xml:space="preserve">États d’urgence sanitaire et environnementale ; la transformation des pouvoirs de police administrative ; les restrictions des libertés fondamentales et le contrôle de proportionnalité ; la gouvernance multi-niveaux des crises et l’articulation des normes ; </w:t>
      </w:r>
      <w:r>
        <w:rPr>
          <w:color w:val="000000" w:themeColor="text1"/>
        </w:rPr>
        <w:t xml:space="preserve">la dimension sociologique de la gestion </w:t>
      </w:r>
      <w:proofErr w:type="gramStart"/>
      <w:r>
        <w:rPr>
          <w:color w:val="000000" w:themeColor="text1"/>
        </w:rPr>
        <w:t>( acceptabilité</w:t>
      </w:r>
      <w:proofErr w:type="gramEnd"/>
      <w:r>
        <w:rPr>
          <w:color w:val="000000" w:themeColor="text1"/>
        </w:rPr>
        <w:t xml:space="preserve"> sociale des mesures d’urgence...)</w:t>
      </w:r>
    </w:p>
    <w:p w:rsidR="00F76427" w:rsidRDefault="00BC0A19">
      <w:pPr>
        <w:spacing w:after="0" w:line="240" w:lineRule="auto"/>
        <w:jc w:val="both"/>
        <w:rPr>
          <w:rFonts w:eastAsia="Times New Roman"/>
          <w:b/>
          <w:color w:val="000000" w:themeColor="text1"/>
        </w:rPr>
      </w:pPr>
      <w:r>
        <w:rPr>
          <w:rFonts w:eastAsia="Times New Roman"/>
          <w:b/>
          <w:color w:val="000000" w:themeColor="text1"/>
          <w:lang w:eastAsia="fr-FR"/>
        </w:rPr>
        <w:t>Axe 3 : Responsabilités et dommages globaux.</w:t>
      </w:r>
    </w:p>
    <w:p w:rsidR="00F76427" w:rsidRDefault="00BC0A19">
      <w:pPr>
        <w:spacing w:line="240" w:lineRule="auto"/>
        <w:jc w:val="both"/>
        <w:rPr>
          <w:rFonts w:eastAsia="Times New Roman"/>
          <w:color w:val="000000" w:themeColor="text1"/>
        </w:rPr>
      </w:pPr>
      <w:r>
        <w:rPr>
          <w:color w:val="000000" w:themeColor="text1"/>
        </w:rPr>
        <w:t xml:space="preserve">Les crises révèlent les limites des modèles classiques de responsabilité et la nécessité d’adapter le droit aux risques systémiques. Les propositions pourront porter sur : </w:t>
      </w:r>
      <w:r>
        <w:rPr>
          <w:rFonts w:eastAsia="Times New Roman"/>
          <w:color w:val="000000" w:themeColor="text1"/>
          <w:lang w:eastAsia="fr-FR"/>
        </w:rPr>
        <w:t>la responsabilité administrative et la carence fautive ; la responsabilité civile et pénale environnementale ; la responsabilité extraterritoriale et le devoir de vigilance ; les Contentieux climatiques et sanitaires stratégiques…</w:t>
      </w:r>
    </w:p>
    <w:p w:rsidR="00F76427" w:rsidRDefault="00BC0A19">
      <w:pPr>
        <w:spacing w:after="0" w:line="240" w:lineRule="auto"/>
        <w:jc w:val="both"/>
        <w:rPr>
          <w:rFonts w:eastAsia="Times New Roman"/>
          <w:b/>
          <w:color w:val="000000" w:themeColor="text1"/>
        </w:rPr>
      </w:pPr>
      <w:r>
        <w:rPr>
          <w:rFonts w:eastAsia="Times New Roman"/>
          <w:b/>
          <w:color w:val="000000" w:themeColor="text1"/>
          <w:lang w:eastAsia="fr-FR"/>
        </w:rPr>
        <w:t>Axe 4 : Droits fondamentaux et justice écologique.</w:t>
      </w:r>
    </w:p>
    <w:p w:rsidR="00F76427" w:rsidRDefault="00BC0A19">
      <w:pPr>
        <w:spacing w:line="240" w:lineRule="auto"/>
        <w:jc w:val="both"/>
        <w:rPr>
          <w:rFonts w:eastAsia="Times New Roman"/>
          <w:b/>
          <w:bCs/>
          <w:color w:val="000000" w:themeColor="text1"/>
        </w:rPr>
      </w:pPr>
      <w:r>
        <w:rPr>
          <w:color w:val="000000" w:themeColor="text1"/>
        </w:rPr>
        <w:t xml:space="preserve">Les crises mettent en lumière les inégalités sociales et environnementales, et la nécessité d’une justice adaptée aux enjeux globaux. Les propositions pourront notamment porter sur : le droit à la santé </w:t>
      </w:r>
      <w:r>
        <w:rPr>
          <w:rFonts w:eastAsia="Times New Roman"/>
          <w:color w:val="000000" w:themeColor="text1"/>
          <w:lang w:eastAsia="fr-FR"/>
        </w:rPr>
        <w:t>et à un environnement sain ; la justice climatique et environnementale</w:t>
      </w:r>
      <w:r>
        <w:rPr>
          <w:rFonts w:eastAsia="Times New Roman"/>
          <w:color w:val="000000" w:themeColor="text1"/>
          <w:highlight w:val="white"/>
          <w:lang w:eastAsia="fr-FR"/>
        </w:rPr>
        <w:t xml:space="preserve"> ; la protection des </w:t>
      </w:r>
      <w:proofErr w:type="gramStart"/>
      <w:r>
        <w:rPr>
          <w:rFonts w:eastAsia="Times New Roman"/>
          <w:color w:val="000000" w:themeColor="text1"/>
          <w:highlight w:val="white"/>
          <w:lang w:eastAsia="fr-FR"/>
        </w:rPr>
        <w:t>générations  futures</w:t>
      </w:r>
      <w:proofErr w:type="gramEnd"/>
      <w:r>
        <w:rPr>
          <w:rFonts w:eastAsia="Times New Roman"/>
          <w:color w:val="000000" w:themeColor="text1"/>
          <w:highlight w:val="white"/>
          <w:lang w:eastAsia="fr-FR"/>
        </w:rPr>
        <w:t xml:space="preserve"> ; l’accès à la justice et la participation citoyenne ; </w:t>
      </w:r>
      <w:r>
        <w:rPr>
          <w:color w:val="000000" w:themeColor="text1"/>
        </w:rPr>
        <w:t xml:space="preserve"> l’impact des politiques publiques sur les comportements collectifs et les mouvements sociaux.</w:t>
      </w:r>
      <w:r>
        <w:rPr>
          <w:rFonts w:eastAsia="Times New Roman"/>
          <w:color w:val="000000" w:themeColor="text1"/>
          <w:highlight w:val="white"/>
          <w:lang w:eastAsia="fr-FR"/>
        </w:rPr>
        <w:t>…</w:t>
      </w:r>
      <w:r>
        <w:rPr>
          <w:rFonts w:eastAsia="Times New Roman"/>
          <w:color w:val="000000" w:themeColor="text1"/>
          <w:lang w:eastAsia="fr-FR"/>
        </w:rPr>
        <w:t xml:space="preserve"> </w:t>
      </w:r>
    </w:p>
    <w:p w:rsidR="00F76427" w:rsidRDefault="00BC0A19">
      <w:pPr>
        <w:spacing w:after="0" w:line="240" w:lineRule="auto"/>
        <w:jc w:val="both"/>
        <w:rPr>
          <w:rFonts w:eastAsia="Times New Roman"/>
          <w:b/>
          <w:color w:val="000000" w:themeColor="text1"/>
        </w:rPr>
      </w:pPr>
      <w:r>
        <w:rPr>
          <w:rFonts w:eastAsia="Times New Roman"/>
          <w:b/>
          <w:color w:val="000000" w:themeColor="text1"/>
          <w:lang w:eastAsia="fr-FR"/>
        </w:rPr>
        <w:t>Axe 5 : Circulation normative : le dialogue des ordre juridiques.</w:t>
      </w:r>
    </w:p>
    <w:p w:rsidR="00F76427" w:rsidRDefault="00BC0A19">
      <w:pPr>
        <w:spacing w:line="240" w:lineRule="auto"/>
        <w:jc w:val="both"/>
        <w:rPr>
          <w:rFonts w:eastAsia="Times New Roman"/>
          <w:color w:val="000000" w:themeColor="text1"/>
        </w:rPr>
      </w:pPr>
      <w:r>
        <w:rPr>
          <w:color w:val="000000" w:themeColor="text1"/>
        </w:rPr>
        <w:t xml:space="preserve">Les crises favorisent l’émergence d’un dialogue entre systèmes juridiques et niveaux normatifs. Les propositions pourront notamment porter sur : </w:t>
      </w:r>
      <w:r>
        <w:rPr>
          <w:rFonts w:eastAsia="Times New Roman"/>
          <w:color w:val="000000" w:themeColor="text1"/>
          <w:lang w:eastAsia="fr-FR"/>
        </w:rPr>
        <w:t>les réponses nationales comparées aux pandémies et catastrophes environnementales ; le dialogue des juges ; l’articulation entre droit international, droit de l’Union européenne et droits internes ; le rôle des organisations internationales.</w:t>
      </w:r>
    </w:p>
    <w:p w:rsidR="00F76427" w:rsidRDefault="00BC0A19">
      <w:pPr>
        <w:spacing w:after="0" w:line="240" w:lineRule="auto"/>
        <w:jc w:val="both"/>
        <w:rPr>
          <w:rFonts w:eastAsia="Times New Roman"/>
          <w:b/>
          <w:color w:val="000000" w:themeColor="text1"/>
        </w:rPr>
      </w:pPr>
      <w:r>
        <w:rPr>
          <w:rFonts w:eastAsia="Times New Roman"/>
          <w:b/>
          <w:color w:val="000000" w:themeColor="text1"/>
          <w:lang w:eastAsia="fr-FR"/>
        </w:rPr>
        <w:t>Axe 6 : Assurance et gouvernance des risques</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L’assurance constitue un levier central pour anticiper, mutualiser et réparer les dommages liés aux crises sanitaires et environnementales. Les contributions pourront notamment porter sur :</w:t>
      </w:r>
      <w:r>
        <w:rPr>
          <w:color w:val="000000" w:themeColor="text1"/>
        </w:rPr>
        <w:t xml:space="preserve"> les régimes d’assurance des catastrophes naturelles et sanitaires (obligations légales et pratiques de marché) ; la r</w:t>
      </w:r>
      <w:r>
        <w:rPr>
          <w:rFonts w:eastAsia="Times New Roman"/>
          <w:color w:val="000000" w:themeColor="text1"/>
          <w:lang w:eastAsia="fr-FR"/>
        </w:rPr>
        <w:t xml:space="preserve">esponsabilité des assureurs et </w:t>
      </w:r>
      <w:r>
        <w:rPr>
          <w:color w:val="000000" w:themeColor="text1"/>
        </w:rPr>
        <w:t xml:space="preserve">les </w:t>
      </w:r>
      <w:r>
        <w:rPr>
          <w:rFonts w:eastAsia="Times New Roman"/>
          <w:color w:val="000000" w:themeColor="text1"/>
          <w:lang w:eastAsia="fr-FR"/>
        </w:rPr>
        <w:t>limites contractuelles face aux dommages systémiques ;</w:t>
      </w:r>
      <w:r>
        <w:rPr>
          <w:color w:val="000000" w:themeColor="text1"/>
        </w:rPr>
        <w:t xml:space="preserve"> les interactions</w:t>
      </w:r>
      <w:r>
        <w:rPr>
          <w:rFonts w:eastAsia="Times New Roman"/>
          <w:color w:val="000000" w:themeColor="text1"/>
          <w:lang w:eastAsia="fr-FR"/>
        </w:rPr>
        <w:t xml:space="preserve"> entre assurance, devoir de vigilance des entreprises et normes internationales ;</w:t>
      </w:r>
      <w:r>
        <w:rPr>
          <w:color w:val="000000" w:themeColor="text1"/>
        </w:rPr>
        <w:t xml:space="preserve"> le r</w:t>
      </w:r>
      <w:r>
        <w:rPr>
          <w:rFonts w:eastAsia="Times New Roman"/>
          <w:color w:val="000000" w:themeColor="text1"/>
          <w:lang w:eastAsia="fr-FR"/>
        </w:rPr>
        <w:t>ôle de l’assurance dans la gouvernance des risques climatiques et environnementaux ; la comparaison entre des modèles nationaux et supranationaux (Europe, États-Unis, pays émergents) ;</w:t>
      </w:r>
      <w:r>
        <w:rPr>
          <w:color w:val="000000" w:themeColor="text1"/>
        </w:rPr>
        <w:t xml:space="preserve"> </w:t>
      </w:r>
      <w:r>
        <w:rPr>
          <w:rFonts w:eastAsia="Times New Roman"/>
          <w:color w:val="000000" w:themeColor="text1"/>
          <w:lang w:eastAsia="fr-FR"/>
        </w:rPr>
        <w:t>l’innovation financière et l’assurance climatique (instruments de transfert du risque et mécanismes hybrides public-privé)</w:t>
      </w:r>
      <w:r>
        <w:rPr>
          <w:color w:val="000000" w:themeColor="text1"/>
        </w:rPr>
        <w:t>…</w:t>
      </w:r>
    </w:p>
    <w:p w:rsidR="00F76427" w:rsidRDefault="00BC0A19">
      <w:pPr>
        <w:rPr>
          <w:rFonts w:eastAsia="Times New Roman"/>
          <w:b/>
          <w:bCs/>
          <w:color w:val="000000" w:themeColor="text1"/>
        </w:rPr>
      </w:pPr>
      <w:r>
        <w:rPr>
          <w:rFonts w:eastAsia="Times New Roman"/>
          <w:b/>
          <w:color w:val="000000" w:themeColor="text1"/>
          <w:lang w:eastAsia="fr-FR"/>
        </w:rPr>
        <w:br w:type="page" w:clear="all"/>
      </w:r>
    </w:p>
    <w:p w:rsidR="00F76427" w:rsidRDefault="00BC0A19">
      <w:pPr>
        <w:spacing w:after="0" w:line="240" w:lineRule="auto"/>
        <w:jc w:val="both"/>
        <w:rPr>
          <w:rFonts w:eastAsia="Times New Roman"/>
          <w:b/>
          <w:bCs/>
          <w:color w:val="000000" w:themeColor="text1"/>
        </w:rPr>
      </w:pPr>
      <w:r>
        <w:rPr>
          <w:rFonts w:eastAsia="Times New Roman"/>
          <w:b/>
          <w:color w:val="000000" w:themeColor="text1"/>
          <w:lang w:eastAsia="fr-FR"/>
        </w:rPr>
        <w:lastRenderedPageBreak/>
        <w:t>Modalités de soumission</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Les propositions devront comprendre : un titre ; un résumé (500 à 600 mots maximum présentant la problématique,</w:t>
      </w:r>
      <w:r>
        <w:rPr>
          <w:color w:val="000000" w:themeColor="text1"/>
        </w:rPr>
        <w:t xml:space="preserve"> le cadre théorique et les principaux apports scientifiques) et </w:t>
      </w:r>
      <w:r>
        <w:rPr>
          <w:rFonts w:eastAsia="Times New Roman"/>
          <w:color w:val="000000" w:themeColor="text1"/>
          <w:lang w:eastAsia="fr-FR"/>
        </w:rPr>
        <w:t>une brève notice biographique (cinq lignes maximum).</w:t>
      </w:r>
    </w:p>
    <w:p w:rsidR="00F76427" w:rsidRDefault="00BC0A19">
      <w:pPr>
        <w:spacing w:line="240" w:lineRule="auto"/>
        <w:jc w:val="both"/>
        <w:rPr>
          <w:rFonts w:eastAsia="Times New Roman"/>
          <w:b/>
          <w:bCs/>
          <w:color w:val="000000" w:themeColor="text1"/>
          <w:highlight w:val="white"/>
        </w:rPr>
      </w:pPr>
      <w:r>
        <w:rPr>
          <w:rFonts w:eastAsia="Times New Roman"/>
          <w:color w:val="000000" w:themeColor="text1"/>
          <w:highlight w:val="white"/>
          <w:lang w:eastAsia="fr-FR"/>
        </w:rPr>
        <w:t xml:space="preserve">Les propositions sont à adresser avant le : </w:t>
      </w:r>
      <w:r>
        <w:rPr>
          <w:rFonts w:eastAsia="Times New Roman"/>
          <w:b/>
          <w:color w:val="000000" w:themeColor="text1"/>
          <w:highlight w:val="white"/>
          <w:lang w:eastAsia="fr-FR"/>
        </w:rPr>
        <w:t>15 juin 2026</w:t>
      </w:r>
      <w:r>
        <w:rPr>
          <w:rFonts w:eastAsia="Times New Roman"/>
          <w:color w:val="000000" w:themeColor="text1"/>
          <w:highlight w:val="white"/>
          <w:lang w:eastAsia="fr-FR"/>
        </w:rPr>
        <w:t xml:space="preserve"> aux adresses suivantes : </w:t>
      </w:r>
    </w:p>
    <w:p w:rsidR="00F76427" w:rsidRDefault="00BC0A19">
      <w:pPr>
        <w:spacing w:line="240" w:lineRule="auto"/>
        <w:jc w:val="both"/>
        <w:rPr>
          <w:rFonts w:eastAsia="Times New Roman"/>
          <w:color w:val="000000" w:themeColor="text1"/>
          <w:highlight w:val="white"/>
        </w:rPr>
      </w:pPr>
      <w:r>
        <w:rPr>
          <w:rFonts w:eastAsia="Times New Roman"/>
          <w:color w:val="000000" w:themeColor="text1"/>
          <w:highlight w:val="white"/>
          <w:lang w:eastAsia="fr-FR"/>
        </w:rPr>
        <w:t xml:space="preserve">CASTILLO Maria  </w:t>
      </w:r>
      <w:hyperlink r:id="rId7" w:tooltip="mailto:maria.castillo@unicaen.fr" w:history="1">
        <w:r>
          <w:rPr>
            <w:rStyle w:val="Lienhypertexte"/>
            <w:rFonts w:ascii="Times New Roman" w:eastAsia="Times New Roman" w:hAnsi="Times New Roman" w:cs="Times New Roman"/>
            <w:color w:val="000000" w:themeColor="text1"/>
            <w:sz w:val="24"/>
            <w:szCs w:val="24"/>
            <w:highlight w:val="white"/>
            <w:lang w:eastAsia="fr-FR"/>
          </w:rPr>
          <w:t>maria.castillo@unicaen.fr</w:t>
        </w:r>
      </w:hyperlink>
      <w:r>
        <w:rPr>
          <w:rFonts w:eastAsia="Times New Roman"/>
          <w:color w:val="000000" w:themeColor="text1"/>
          <w:highlight w:val="white"/>
          <w:lang w:eastAsia="fr-FR"/>
        </w:rPr>
        <w:t xml:space="preserve"> ;  </w:t>
      </w:r>
    </w:p>
    <w:p w:rsidR="00F76427" w:rsidRDefault="00BC0A19">
      <w:pPr>
        <w:spacing w:line="240" w:lineRule="auto"/>
        <w:jc w:val="both"/>
        <w:rPr>
          <w:rFonts w:eastAsia="Times New Roman"/>
          <w:color w:val="000000" w:themeColor="text1"/>
          <w:highlight w:val="white"/>
        </w:rPr>
      </w:pPr>
      <w:r>
        <w:rPr>
          <w:rFonts w:eastAsia="Times New Roman"/>
          <w:color w:val="000000" w:themeColor="text1"/>
          <w:highlight w:val="white"/>
          <w:lang w:eastAsia="fr-FR"/>
        </w:rPr>
        <w:t xml:space="preserve">CAYOL Amandine </w:t>
      </w:r>
      <w:hyperlink r:id="rId8" w:tooltip="mailto:amandine.cayol@unicaen.fr" w:history="1">
        <w:r>
          <w:rPr>
            <w:rStyle w:val="Lienhypertexte"/>
            <w:rFonts w:ascii="Times New Roman" w:eastAsia="Times New Roman" w:hAnsi="Times New Roman" w:cs="Times New Roman"/>
            <w:color w:val="000000" w:themeColor="text1"/>
            <w:sz w:val="24"/>
            <w:szCs w:val="24"/>
            <w:highlight w:val="white"/>
            <w:lang w:eastAsia="fr-FR"/>
          </w:rPr>
          <w:t>amandine.cayol@unicaen.fr</w:t>
        </w:r>
      </w:hyperlink>
    </w:p>
    <w:p w:rsidR="00F76427" w:rsidRDefault="00F76427">
      <w:pPr>
        <w:spacing w:line="240" w:lineRule="auto"/>
        <w:jc w:val="both"/>
        <w:rPr>
          <w:rFonts w:eastAsia="Times New Roman"/>
          <w:b/>
          <w:bCs/>
          <w:strike/>
          <w:color w:val="000000" w:themeColor="text1"/>
          <w:highlight w:val="yellow"/>
        </w:rPr>
      </w:pPr>
    </w:p>
    <w:p w:rsidR="00F76427" w:rsidRDefault="00BC0A19">
      <w:pPr>
        <w:spacing w:line="240" w:lineRule="auto"/>
        <w:jc w:val="both"/>
        <w:rPr>
          <w:rFonts w:eastAsia="Times New Roman"/>
          <w:b/>
          <w:color w:val="000000" w:themeColor="text1"/>
        </w:rPr>
      </w:pPr>
      <w:r>
        <w:rPr>
          <w:rFonts w:eastAsia="Times New Roman"/>
          <w:b/>
          <w:color w:val="000000" w:themeColor="text1"/>
          <w:lang w:eastAsia="fr-FR"/>
        </w:rPr>
        <w:t>Calendrier prévisionnel :</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 xml:space="preserve">Date limite de soumission : </w:t>
      </w:r>
      <w:r>
        <w:rPr>
          <w:rFonts w:eastAsia="Times New Roman"/>
          <w:b/>
          <w:bCs/>
          <w:color w:val="000000" w:themeColor="text1"/>
          <w:lang w:eastAsia="fr-FR"/>
        </w:rPr>
        <w:t>15 juin 2026</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 xml:space="preserve">Notification aux auteurs : </w:t>
      </w:r>
      <w:r>
        <w:rPr>
          <w:rFonts w:eastAsia="Times New Roman"/>
          <w:b/>
          <w:bCs/>
          <w:color w:val="000000" w:themeColor="text1"/>
          <w:lang w:eastAsia="fr-FR"/>
        </w:rPr>
        <w:t>15 juillet 2026</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Colloque :</w:t>
      </w:r>
      <w:r w:rsidR="00E976B2">
        <w:rPr>
          <w:rFonts w:eastAsia="Times New Roman"/>
          <w:b/>
          <w:bCs/>
          <w:color w:val="000000" w:themeColor="text1"/>
          <w:lang w:eastAsia="fr-FR"/>
        </w:rPr>
        <w:t>8,9</w:t>
      </w:r>
      <w:r>
        <w:rPr>
          <w:rFonts w:eastAsia="Times New Roman"/>
          <w:b/>
          <w:bCs/>
          <w:color w:val="000000" w:themeColor="text1"/>
          <w:lang w:eastAsia="fr-FR"/>
        </w:rPr>
        <w:t xml:space="preserve"> et 1</w:t>
      </w:r>
      <w:r w:rsidR="00E976B2">
        <w:rPr>
          <w:rFonts w:eastAsia="Times New Roman"/>
          <w:b/>
          <w:bCs/>
          <w:color w:val="000000" w:themeColor="text1"/>
          <w:lang w:eastAsia="fr-FR"/>
        </w:rPr>
        <w:t>0</w:t>
      </w:r>
      <w:r>
        <w:rPr>
          <w:rFonts w:eastAsia="Times New Roman"/>
          <w:b/>
          <w:bCs/>
          <w:color w:val="000000" w:themeColor="text1"/>
          <w:lang w:eastAsia="fr-FR"/>
        </w:rPr>
        <w:t xml:space="preserve"> mars 2027</w:t>
      </w:r>
    </w:p>
    <w:p w:rsidR="00F76427" w:rsidRDefault="00F76427">
      <w:pPr>
        <w:spacing w:line="240" w:lineRule="auto"/>
        <w:jc w:val="both"/>
        <w:rPr>
          <w:rFonts w:eastAsia="Times New Roman"/>
          <w:color w:val="000000" w:themeColor="text1"/>
        </w:rPr>
      </w:pPr>
    </w:p>
    <w:p w:rsidR="00F76427" w:rsidRDefault="00BC0A19">
      <w:pPr>
        <w:spacing w:line="240" w:lineRule="auto"/>
        <w:jc w:val="both"/>
        <w:rPr>
          <w:rFonts w:eastAsia="Times New Roman"/>
          <w:b/>
          <w:color w:val="000000" w:themeColor="text1"/>
        </w:rPr>
      </w:pPr>
      <w:r>
        <w:rPr>
          <w:rFonts w:eastAsia="Times New Roman"/>
          <w:b/>
          <w:color w:val="000000" w:themeColor="text1"/>
          <w:lang w:eastAsia="fr-FR"/>
        </w:rPr>
        <w:t>Publication</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Les contributions feront l’objet d’une publication après évaluation scientifique (ouvrage collectif ou numéro spécial de revue).</w:t>
      </w:r>
    </w:p>
    <w:p w:rsidR="00F76427" w:rsidRDefault="00F76427">
      <w:pPr>
        <w:spacing w:line="240" w:lineRule="auto"/>
        <w:jc w:val="both"/>
        <w:rPr>
          <w:rFonts w:eastAsia="Times New Roman"/>
          <w:b/>
          <w:color w:val="000000" w:themeColor="text1"/>
        </w:rPr>
      </w:pPr>
    </w:p>
    <w:p w:rsidR="00F76427" w:rsidRDefault="00BC0A19">
      <w:pPr>
        <w:spacing w:line="240" w:lineRule="auto"/>
        <w:jc w:val="both"/>
        <w:rPr>
          <w:rFonts w:eastAsia="Times New Roman"/>
          <w:b/>
          <w:color w:val="000000" w:themeColor="text1"/>
        </w:rPr>
      </w:pPr>
      <w:r>
        <w:rPr>
          <w:rFonts w:eastAsia="Times New Roman"/>
          <w:b/>
          <w:color w:val="000000" w:themeColor="text1"/>
          <w:lang w:eastAsia="fr-FR"/>
        </w:rPr>
        <w:t xml:space="preserve">Comité scientifique :  </w:t>
      </w:r>
    </w:p>
    <w:p w:rsidR="00F76427" w:rsidRDefault="00BC0A19">
      <w:pPr>
        <w:spacing w:line="240" w:lineRule="auto"/>
        <w:jc w:val="both"/>
        <w:rPr>
          <w:rFonts w:eastAsia="Times New Roman"/>
          <w:color w:val="000000" w:themeColor="text1"/>
        </w:rPr>
      </w:pPr>
      <w:bookmarkStart w:id="0" w:name="_GoBack"/>
      <w:r>
        <w:rPr>
          <w:rFonts w:eastAsia="Times New Roman"/>
          <w:color w:val="000000" w:themeColor="text1"/>
          <w:lang w:eastAsia="fr-FR"/>
        </w:rPr>
        <w:t>CASTILLO Maria, Maître de conférences en droit public</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CAYOL Amandine, Professeur de droit privé</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BREARD Joël, Professeur en physique des matériaux</w:t>
      </w:r>
    </w:p>
    <w:p w:rsidR="00F76427" w:rsidRDefault="00BC0A19">
      <w:pPr>
        <w:spacing w:line="240" w:lineRule="auto"/>
        <w:jc w:val="both"/>
        <w:rPr>
          <w:rFonts w:eastAsia="Times New Roman"/>
          <w:color w:val="000000" w:themeColor="text1"/>
        </w:rPr>
      </w:pPr>
      <w:r>
        <w:rPr>
          <w:rFonts w:eastAsia="Times New Roman"/>
          <w:color w:val="000000" w:themeColor="text1"/>
          <w:lang w:eastAsia="fr-FR"/>
        </w:rPr>
        <w:t>LEMARCHAND Frédérick, Professeur de sociologie</w:t>
      </w:r>
    </w:p>
    <w:p w:rsidR="00F76427" w:rsidRDefault="00BC0A19">
      <w:pPr>
        <w:spacing w:line="240" w:lineRule="auto"/>
        <w:jc w:val="both"/>
        <w:rPr>
          <w:rFonts w:eastAsia="Times New Roman"/>
        </w:rPr>
      </w:pPr>
      <w:r>
        <w:t xml:space="preserve">OANTA Gabriela Alexandra, </w:t>
      </w:r>
      <w:r w:rsidR="00E23A30">
        <w:t>professeur</w:t>
      </w:r>
      <w:r>
        <w:t xml:space="preserve"> en droit public, Université de Coro</w:t>
      </w:r>
      <w:r w:rsidR="00E23A30">
        <w:t>gne</w:t>
      </w:r>
      <w:r>
        <w:t xml:space="preserve"> (Espagne), Chaire Jean Monnet “</w:t>
      </w:r>
      <w:proofErr w:type="spellStart"/>
      <w:r>
        <w:t>European</w:t>
      </w:r>
      <w:proofErr w:type="spellEnd"/>
      <w:r>
        <w:t xml:space="preserve"> Union </w:t>
      </w:r>
      <w:proofErr w:type="spellStart"/>
      <w:r>
        <w:t>law</w:t>
      </w:r>
      <w:proofErr w:type="spellEnd"/>
      <w:r>
        <w:t xml:space="preserve"> of the </w:t>
      </w:r>
      <w:proofErr w:type="spellStart"/>
      <w:r>
        <w:t>sea</w:t>
      </w:r>
      <w:proofErr w:type="spellEnd"/>
      <w:r>
        <w:t xml:space="preserve">”  </w:t>
      </w:r>
    </w:p>
    <w:bookmarkEnd w:id="0"/>
    <w:p w:rsidR="00F76427" w:rsidRDefault="00F76427">
      <w:pPr>
        <w:spacing w:line="240" w:lineRule="auto"/>
        <w:jc w:val="both"/>
        <w:rPr>
          <w:rFonts w:eastAsia="Times New Roman"/>
        </w:rPr>
      </w:pPr>
    </w:p>
    <w:p w:rsidR="00F76427" w:rsidRDefault="00F76427">
      <w:pPr>
        <w:spacing w:line="240" w:lineRule="auto"/>
        <w:jc w:val="both"/>
        <w:rPr>
          <w:rFonts w:eastAsia="Times New Roman"/>
          <w:lang w:eastAsia="fr-FR"/>
        </w:rPr>
      </w:pPr>
    </w:p>
    <w:p w:rsidR="00F76427" w:rsidRDefault="00F76427">
      <w:pPr>
        <w:spacing w:line="240" w:lineRule="auto"/>
        <w:jc w:val="both"/>
      </w:pPr>
    </w:p>
    <w:sectPr w:rsidR="00F7642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75A" w:rsidRDefault="006D075A">
      <w:pPr>
        <w:spacing w:after="0" w:line="240" w:lineRule="auto"/>
      </w:pPr>
      <w:r>
        <w:separator/>
      </w:r>
    </w:p>
  </w:endnote>
  <w:endnote w:type="continuationSeparator" w:id="0">
    <w:p w:rsidR="006D075A" w:rsidRDefault="006D0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75A" w:rsidRDefault="006D075A">
      <w:pPr>
        <w:spacing w:after="0" w:line="240" w:lineRule="auto"/>
      </w:pPr>
      <w:r>
        <w:separator/>
      </w:r>
    </w:p>
  </w:footnote>
  <w:footnote w:type="continuationSeparator" w:id="0">
    <w:p w:rsidR="006D075A" w:rsidRDefault="006D07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55BC1"/>
    <w:multiLevelType w:val="multilevel"/>
    <w:tmpl w:val="81B45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B4AF2"/>
    <w:multiLevelType w:val="multilevel"/>
    <w:tmpl w:val="FCDE6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30662"/>
    <w:multiLevelType w:val="multilevel"/>
    <w:tmpl w:val="EA544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B3717"/>
    <w:multiLevelType w:val="multilevel"/>
    <w:tmpl w:val="AC466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AC12B7"/>
    <w:multiLevelType w:val="multilevel"/>
    <w:tmpl w:val="D9704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40539D"/>
    <w:multiLevelType w:val="multilevel"/>
    <w:tmpl w:val="AD32D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57770F"/>
    <w:multiLevelType w:val="multilevel"/>
    <w:tmpl w:val="392E0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2"/>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427"/>
    <w:rsid w:val="00113647"/>
    <w:rsid w:val="006D075A"/>
    <w:rsid w:val="008E51F9"/>
    <w:rsid w:val="00BC0A19"/>
    <w:rsid w:val="00E23A30"/>
    <w:rsid w:val="00E976B2"/>
    <w:rsid w:val="00F76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F7F06"/>
  <w15:docId w15:val="{4B8F746A-D5E0-414D-8A65-2050AA49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link w:val="Titre2C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2Car">
    <w:name w:val="Titre 2 Car"/>
    <w:basedOn w:val="Policepardfaut"/>
    <w:link w:val="Titre2"/>
    <w:uiPriority w:val="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Pr>
      <w:b/>
      <w:bCs/>
    </w:r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ine.cayol@unicaen.fr" TargetMode="External"/><Relationship Id="rId3" Type="http://schemas.openxmlformats.org/officeDocument/2006/relationships/settings" Target="settings.xml"/><Relationship Id="rId7" Type="http://schemas.openxmlformats.org/officeDocument/2006/relationships/hyperlink" Target="mailto:maria.castillo@unicaen.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1127</Words>
  <Characters>6203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Universit? de Caen Normandie</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Maria</dc:creator>
  <cp:keywords/>
  <dc:description/>
  <cp:lastModifiedBy>CASTILLO Maria</cp:lastModifiedBy>
  <cp:revision>4</cp:revision>
  <dcterms:created xsi:type="dcterms:W3CDTF">2026-03-09T09:07:00Z</dcterms:created>
  <dcterms:modified xsi:type="dcterms:W3CDTF">2026-04-21T07:10:00Z</dcterms:modified>
</cp:coreProperties>
</file>